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B8" w:rsidRPr="00B822B8" w:rsidRDefault="00B822B8" w:rsidP="00B822B8">
      <w:pPr>
        <w:jc w:val="center"/>
        <w:rPr>
          <w:b/>
          <w:bCs/>
        </w:rPr>
      </w:pPr>
      <w:r w:rsidRPr="00B822B8">
        <w:rPr>
          <w:b/>
          <w:bCs/>
        </w:rPr>
        <w:t>Compétences associées à la lecture d’une œuvre intégrale, ou cursive et à la défense de cette œuvre littéraire</w:t>
      </w:r>
    </w:p>
    <w:tbl>
      <w:tblPr>
        <w:tblW w:w="14566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842"/>
        <w:gridCol w:w="1853"/>
        <w:gridCol w:w="9595"/>
      </w:tblGrid>
      <w:tr w:rsidR="00B822B8" w:rsidTr="00124937">
        <w:tc>
          <w:tcPr>
            <w:tcW w:w="14566" w:type="dxa"/>
            <w:gridSpan w:val="4"/>
          </w:tcPr>
          <w:p w:rsidR="00B822B8" w:rsidRPr="00C82545" w:rsidRDefault="00B822B8" w:rsidP="00124937">
            <w:pPr>
              <w:rPr>
                <w:b/>
                <w:color w:val="7030A0"/>
              </w:rPr>
            </w:pPr>
            <w:r w:rsidRPr="00C82545">
              <w:rPr>
                <w:b/>
                <w:color w:val="7030A0"/>
              </w:rPr>
              <w:t xml:space="preserve">LIRE </w:t>
            </w:r>
            <w:bookmarkStart w:id="0" w:name="_GoBack"/>
            <w:bookmarkEnd w:id="0"/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</w:p>
        </w:tc>
      </w:tr>
      <w:tr w:rsidR="00B822B8" w:rsidTr="00124937">
        <w:tc>
          <w:tcPr>
            <w:tcW w:w="1276" w:type="dxa"/>
            <w:vMerge w:val="restart"/>
          </w:tcPr>
          <w:p w:rsidR="00B822B8" w:rsidRPr="00C82545" w:rsidRDefault="00B822B8" w:rsidP="00124937">
            <w:pPr>
              <w:rPr>
                <w:b/>
                <w:color w:val="7030A0"/>
              </w:rPr>
            </w:pPr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  <w:r w:rsidRPr="00C82545">
              <w:rPr>
                <w:b/>
                <w:color w:val="7030A0"/>
              </w:rPr>
              <w:t>LIRE UN TEXTE LITTERAIRE</w:t>
            </w:r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</w:p>
        </w:tc>
        <w:tc>
          <w:tcPr>
            <w:tcW w:w="1842" w:type="dxa"/>
            <w:vMerge w:val="restart"/>
          </w:tcPr>
          <w:p w:rsidR="00B822B8" w:rsidRPr="00C82545" w:rsidRDefault="00B822B8" w:rsidP="00124937">
            <w:pPr>
              <w:rPr>
                <w:b/>
                <w:color w:val="7030A0"/>
              </w:rPr>
            </w:pPr>
          </w:p>
          <w:p w:rsidR="00B822B8" w:rsidRPr="00C82545" w:rsidRDefault="00B822B8" w:rsidP="00124937">
            <w:pPr>
              <w:rPr>
                <w:b/>
                <w:color w:val="993799"/>
              </w:rPr>
            </w:pPr>
          </w:p>
          <w:p w:rsidR="00B822B8" w:rsidRPr="00C82545" w:rsidRDefault="00B822B8" w:rsidP="00124937">
            <w:pPr>
              <w:rPr>
                <w:b/>
                <w:color w:val="993799"/>
              </w:rPr>
            </w:pPr>
            <w:r w:rsidRPr="00C82545">
              <w:rPr>
                <w:b/>
                <w:color w:val="993799"/>
              </w:rPr>
              <w:t>Lire un texte LONG POUR DEVELOPPER SA CULTURE LITTERAIRE ET LA MOBILISER A BON ESCIENT</w:t>
            </w:r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</w:p>
          <w:p w:rsidR="00B822B8" w:rsidRPr="00C82545" w:rsidRDefault="00B822B8" w:rsidP="00124937">
            <w:pPr>
              <w:rPr>
                <w:b/>
                <w:color w:val="7030A0"/>
              </w:rPr>
            </w:pPr>
          </w:p>
        </w:tc>
        <w:tc>
          <w:tcPr>
            <w:tcW w:w="1853" w:type="dxa"/>
          </w:tcPr>
          <w:p w:rsidR="00B822B8" w:rsidRDefault="00B822B8" w:rsidP="00124937">
            <w:pPr>
              <w:rPr>
                <w:b/>
              </w:rPr>
            </w:pPr>
          </w:p>
          <w:p w:rsidR="00B822B8" w:rsidRDefault="00B822B8" w:rsidP="00124937">
            <w:pPr>
              <w:rPr>
                <w:b/>
              </w:rPr>
            </w:pPr>
          </w:p>
          <w:p w:rsidR="00B822B8" w:rsidRDefault="00B822B8" w:rsidP="00124937">
            <w:pPr>
              <w:rPr>
                <w:b/>
              </w:rPr>
            </w:pPr>
          </w:p>
          <w:p w:rsidR="00B822B8" w:rsidRDefault="00B822B8" w:rsidP="00124937">
            <w:pPr>
              <w:rPr>
                <w:b/>
              </w:rPr>
            </w:pPr>
            <w:r>
              <w:rPr>
                <w:b/>
              </w:rPr>
              <w:t>LIRE ET COMPRENDRE</w:t>
            </w:r>
          </w:p>
          <w:p w:rsidR="00B822B8" w:rsidRDefault="00B822B8" w:rsidP="00124937">
            <w:pPr>
              <w:rPr>
                <w:b/>
              </w:rPr>
            </w:pPr>
          </w:p>
        </w:tc>
        <w:tc>
          <w:tcPr>
            <w:tcW w:w="9595" w:type="dxa"/>
          </w:tcPr>
          <w:p w:rsidR="00B822B8" w:rsidRDefault="00B822B8" w:rsidP="00124937"/>
          <w:p w:rsidR="00B822B8" w:rsidRDefault="00B822B8" w:rsidP="00B822B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Verbaliser des émotions et des jugements esthétiques sur sa lecture de l’œuvre</w:t>
            </w:r>
          </w:p>
          <w:p w:rsidR="00B822B8" w:rsidRDefault="00B822B8" w:rsidP="00B822B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Restituer les grandes lignes de l’œuvre : l’intrigue, l’action…</w:t>
            </w:r>
          </w:p>
          <w:p w:rsidR="00B822B8" w:rsidRDefault="00B822B8" w:rsidP="00B822B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Caractériser plusieurs aspects de l’œuvre : identifier et définir le genre, les thèmes principaux, distinguer les personnages (portraits, évolutions, caractéristiques spécifiques)</w:t>
            </w:r>
          </w:p>
          <w:p w:rsidR="00B822B8" w:rsidRDefault="00B822B8" w:rsidP="00B822B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Identifier les thèmes abordés par l’œuvre, à travers leurs personnages, leurs parcours</w:t>
            </w:r>
          </w:p>
          <w:p w:rsidR="00B822B8" w:rsidRDefault="00B822B8" w:rsidP="00B822B8">
            <w:pPr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Repérer les implicites de l’œuvre</w:t>
            </w:r>
          </w:p>
          <w:p w:rsidR="00B822B8" w:rsidRDefault="00B822B8" w:rsidP="00B822B8">
            <w:pPr>
              <w:numPr>
                <w:ilvl w:val="0"/>
                <w:numId w:val="2"/>
              </w:numPr>
              <w:ind w:hanging="360"/>
              <w:contextualSpacing/>
              <w:rPr>
                <w:color w:val="70AD47"/>
              </w:rPr>
            </w:pPr>
            <w:r>
              <w:rPr>
                <w:color w:val="70AD47"/>
              </w:rPr>
              <w:t xml:space="preserve">Identifier des liens thématiques entre l’œuvre et son parcours sur le plan : des thèmes, de l’action, des personnages, du style de l’auteur, et du genre littéraire, des messages argumentatifs </w:t>
            </w:r>
          </w:p>
          <w:p w:rsidR="00B822B8" w:rsidRDefault="00B822B8" w:rsidP="00124937"/>
        </w:tc>
      </w:tr>
      <w:tr w:rsidR="00B822B8" w:rsidTr="00124937">
        <w:trPr>
          <w:trHeight w:val="800"/>
        </w:trPr>
        <w:tc>
          <w:tcPr>
            <w:tcW w:w="1276" w:type="dxa"/>
            <w:vMerge/>
          </w:tcPr>
          <w:p w:rsidR="00B822B8" w:rsidRDefault="00B822B8" w:rsidP="00124937">
            <w:pPr>
              <w:spacing w:line="276" w:lineRule="auto"/>
            </w:pPr>
          </w:p>
        </w:tc>
        <w:tc>
          <w:tcPr>
            <w:tcW w:w="1842" w:type="dxa"/>
            <w:vMerge/>
          </w:tcPr>
          <w:p w:rsidR="00B822B8" w:rsidRDefault="00B822B8" w:rsidP="00124937"/>
          <w:p w:rsidR="00B822B8" w:rsidRDefault="00B822B8" w:rsidP="00124937"/>
        </w:tc>
        <w:tc>
          <w:tcPr>
            <w:tcW w:w="1853" w:type="dxa"/>
          </w:tcPr>
          <w:p w:rsidR="00B822B8" w:rsidRDefault="00B822B8" w:rsidP="00124937">
            <w:pPr>
              <w:rPr>
                <w:b/>
              </w:rPr>
            </w:pPr>
          </w:p>
          <w:p w:rsidR="00B822B8" w:rsidRDefault="00B822B8" w:rsidP="00124937">
            <w:pPr>
              <w:rPr>
                <w:b/>
              </w:rPr>
            </w:pPr>
            <w:r>
              <w:rPr>
                <w:b/>
              </w:rPr>
              <w:t xml:space="preserve">REFLECHIR, ANALYSER, INTERPRETER, </w:t>
            </w:r>
          </w:p>
        </w:tc>
        <w:tc>
          <w:tcPr>
            <w:tcW w:w="9595" w:type="dxa"/>
          </w:tcPr>
          <w:p w:rsidR="00B822B8" w:rsidRPr="00C82545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0000"/>
                <w:sz w:val="24"/>
                <w:szCs w:val="24"/>
              </w:rPr>
            </w:pPr>
            <w:r w:rsidRPr="00C82545">
              <w:rPr>
                <w:color w:val="FF0000"/>
                <w:sz w:val="24"/>
                <w:szCs w:val="24"/>
              </w:rPr>
              <w:t>Résumer des passages d’une œuvre, en comprendre le sens littéral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Mettre en relation des passages distincts d’une œuvre, portant sur un ou plusieurs thèmes communs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Problématiser un OU plusieurs thèmes de l’œuvre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Analyser les intentions, les messages implicites derrière le parcours des personnages (souvent argumentatifs) de l’auteur à l’échelle de l’œuvre</w:t>
            </w:r>
          </w:p>
          <w:p w:rsidR="00B822B8" w:rsidRPr="00C82545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Découper des passages pertinents de l’œuvre pouvant faire l’objet d’une analyse. 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Argumenter ses choix en matière de découpage de texte pouvant faire l’objet d’une analyse, en lien avec le titre du parcours, avec l’objet d’étude. </w:t>
            </w:r>
          </w:p>
          <w:p w:rsidR="00B822B8" w:rsidRDefault="00B822B8" w:rsidP="00124937">
            <w:pPr>
              <w:ind w:left="720"/>
              <w:rPr>
                <w:color w:val="00B050"/>
                <w:sz w:val="24"/>
                <w:szCs w:val="24"/>
              </w:rPr>
            </w:pPr>
          </w:p>
          <w:p w:rsidR="00B822B8" w:rsidRDefault="00B822B8" w:rsidP="00124937">
            <w:pPr>
              <w:ind w:left="360"/>
            </w:pPr>
          </w:p>
        </w:tc>
      </w:tr>
      <w:tr w:rsidR="00B822B8" w:rsidTr="00124937">
        <w:trPr>
          <w:trHeight w:val="4800"/>
        </w:trPr>
        <w:tc>
          <w:tcPr>
            <w:tcW w:w="1276" w:type="dxa"/>
            <w:vMerge/>
          </w:tcPr>
          <w:p w:rsidR="00B822B8" w:rsidRDefault="00B822B8" w:rsidP="00124937">
            <w:pPr>
              <w:spacing w:line="276" w:lineRule="auto"/>
            </w:pPr>
          </w:p>
        </w:tc>
        <w:tc>
          <w:tcPr>
            <w:tcW w:w="1842" w:type="dxa"/>
            <w:vMerge/>
          </w:tcPr>
          <w:p w:rsidR="00B822B8" w:rsidRDefault="00B822B8" w:rsidP="00124937"/>
          <w:p w:rsidR="00B822B8" w:rsidRDefault="00B822B8" w:rsidP="00124937"/>
        </w:tc>
        <w:tc>
          <w:tcPr>
            <w:tcW w:w="1853" w:type="dxa"/>
          </w:tcPr>
          <w:p w:rsidR="00B822B8" w:rsidRDefault="00B822B8" w:rsidP="00124937"/>
          <w:p w:rsidR="00B822B8" w:rsidRDefault="00B822B8" w:rsidP="00124937">
            <w:pPr>
              <w:rPr>
                <w:b/>
              </w:rPr>
            </w:pPr>
            <w:r>
              <w:rPr>
                <w:b/>
              </w:rPr>
              <w:t>PROBLEMATISER/ ARGUMENTER</w:t>
            </w:r>
          </w:p>
        </w:tc>
        <w:tc>
          <w:tcPr>
            <w:tcW w:w="9595" w:type="dxa"/>
          </w:tcPr>
          <w:p w:rsidR="00B822B8" w:rsidRDefault="00B822B8" w:rsidP="00124937">
            <w:pPr>
              <w:ind w:left="720"/>
              <w:rPr>
                <w:sz w:val="24"/>
                <w:szCs w:val="24"/>
              </w:rPr>
            </w:pPr>
          </w:p>
          <w:p w:rsidR="00B822B8" w:rsidRPr="00C82545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0000"/>
                <w:sz w:val="24"/>
                <w:szCs w:val="24"/>
              </w:rPr>
            </w:pPr>
            <w:r w:rsidRPr="00C82545">
              <w:rPr>
                <w:color w:val="FF0000"/>
              </w:rPr>
              <w:t>Mobiliser des faits de langue (des procédés d’écriture), ses connaissances littéraires et culturelles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pour étayer une argumentation structurée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 xml:space="preserve">Développer une </w:t>
            </w:r>
            <w:r>
              <w:rPr>
                <w:b/>
                <w:color w:val="FFC000"/>
              </w:rPr>
              <w:t>argumentation</w:t>
            </w:r>
            <w:r>
              <w:rPr>
                <w:color w:val="FFC000"/>
              </w:rPr>
              <w:t xml:space="preserve"> littéraire et </w:t>
            </w:r>
            <w:r>
              <w:rPr>
                <w:b/>
                <w:color w:val="FFC000"/>
              </w:rPr>
              <w:t>personnelle</w:t>
            </w:r>
            <w:r>
              <w:rPr>
                <w:color w:val="FFC000"/>
              </w:rPr>
              <w:t xml:space="preserve"> sur les aspects d’étude littéraire de l’œuvre intégrale (personnages, caractéristiques, évolutions, type, thèmes, structure d’ensemble, style d’écriture…)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Sélectionner de façon autonome et pertinente des extraits de l’œuvre intégrale pouvant être pertinents pour répondre à une problématique littéraire 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Exercer son esprit critique et son discernement pour élaborer une réflexion problématisée sur les thèmes, enjeux de l’œuvre littéraire.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spacing w:after="0"/>
              <w:ind w:hanging="360"/>
              <w:contextualSpacing/>
              <w:rPr>
                <w:color w:val="00B050"/>
                <w:sz w:val="24"/>
                <w:szCs w:val="24"/>
              </w:rPr>
            </w:pPr>
            <w:r w:rsidRPr="00C82545">
              <w:rPr>
                <w:color w:val="00B050"/>
              </w:rPr>
              <w:t>Défendre</w:t>
            </w:r>
            <w:r>
              <w:rPr>
                <w:color w:val="00B050"/>
              </w:rPr>
              <w:t xml:space="preserve"> sa lecture personnelle et problématisée de l’œuvre littéraire par des arguments construits et étayés par des exemples littéraires mobilisant ses connaissances littéraires, culturelles et stylistiques.</w:t>
            </w:r>
          </w:p>
          <w:p w:rsidR="00B822B8" w:rsidRDefault="00B822B8" w:rsidP="00B822B8">
            <w:pPr>
              <w:numPr>
                <w:ilvl w:val="0"/>
                <w:numId w:val="3"/>
              </w:numPr>
              <w:ind w:hanging="360"/>
              <w:contextualSpacing/>
            </w:pPr>
            <w:r>
              <w:rPr>
                <w:color w:val="00B050"/>
              </w:rPr>
              <w:t>Proposer une lecture personnelle, argumentée, développée, étayée et structurée d’une œuvre littéraire n’ayant pas fait l’objet d’une analyse littéraire en classe (degré d’autonomisation face à la lecture maximal)</w:t>
            </w:r>
          </w:p>
        </w:tc>
      </w:tr>
      <w:tr w:rsidR="00B822B8" w:rsidTr="00124937">
        <w:trPr>
          <w:trHeight w:val="960"/>
        </w:trPr>
        <w:tc>
          <w:tcPr>
            <w:tcW w:w="1276" w:type="dxa"/>
            <w:vMerge/>
          </w:tcPr>
          <w:p w:rsidR="00B822B8" w:rsidRDefault="00B822B8" w:rsidP="00124937">
            <w:pPr>
              <w:spacing w:line="276" w:lineRule="auto"/>
            </w:pPr>
          </w:p>
        </w:tc>
        <w:tc>
          <w:tcPr>
            <w:tcW w:w="1842" w:type="dxa"/>
            <w:vMerge/>
          </w:tcPr>
          <w:p w:rsidR="00B822B8" w:rsidRDefault="00B822B8" w:rsidP="00124937"/>
          <w:p w:rsidR="00B822B8" w:rsidRDefault="00B822B8" w:rsidP="00124937"/>
        </w:tc>
        <w:tc>
          <w:tcPr>
            <w:tcW w:w="1853" w:type="dxa"/>
          </w:tcPr>
          <w:p w:rsidR="00B822B8" w:rsidRDefault="00B822B8" w:rsidP="00124937"/>
          <w:p w:rsidR="00B822B8" w:rsidRDefault="00B822B8" w:rsidP="00124937">
            <w:pPr>
              <w:tabs>
                <w:tab w:val="left" w:pos="2460"/>
              </w:tabs>
              <w:rPr>
                <w:b/>
              </w:rPr>
            </w:pPr>
            <w:r>
              <w:rPr>
                <w:b/>
              </w:rPr>
              <w:t>ECRIRE à partir de sa lecture de l’œuvre intégrale</w:t>
            </w:r>
          </w:p>
          <w:p w:rsidR="00B822B8" w:rsidRDefault="00B822B8" w:rsidP="00124937">
            <w:pPr>
              <w:tabs>
                <w:tab w:val="left" w:pos="2460"/>
              </w:tabs>
              <w:rPr>
                <w:b/>
              </w:rPr>
            </w:pPr>
          </w:p>
        </w:tc>
        <w:tc>
          <w:tcPr>
            <w:tcW w:w="9595" w:type="dxa"/>
          </w:tcPr>
          <w:p w:rsidR="00B822B8" w:rsidRDefault="00B822B8" w:rsidP="00B822B8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Prendre des notes pendant sa lecture : garder une trace de sa lecture</w:t>
            </w:r>
          </w:p>
          <w:p w:rsidR="00B822B8" w:rsidRPr="00C82545" w:rsidRDefault="00B822B8" w:rsidP="00B822B8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color w:val="FFC000"/>
              </w:rPr>
            </w:pPr>
            <w:r w:rsidRPr="00C82545">
              <w:rPr>
                <w:color w:val="0070C0"/>
              </w:rPr>
              <w:t>Varier les formes de ses comptes rendus/les adapter à ses intelligences multiples (textes, schémas, tableaux, cartes mentales, dessins, marginalia, BD…)</w:t>
            </w:r>
          </w:p>
        </w:tc>
      </w:tr>
      <w:tr w:rsidR="00B822B8" w:rsidTr="00124937">
        <w:trPr>
          <w:trHeight w:val="800"/>
        </w:trPr>
        <w:tc>
          <w:tcPr>
            <w:tcW w:w="1276" w:type="dxa"/>
          </w:tcPr>
          <w:p w:rsidR="00B822B8" w:rsidRDefault="00B822B8" w:rsidP="00124937"/>
        </w:tc>
        <w:tc>
          <w:tcPr>
            <w:tcW w:w="1842" w:type="dxa"/>
          </w:tcPr>
          <w:p w:rsidR="00B822B8" w:rsidRDefault="00B822B8" w:rsidP="00124937"/>
          <w:p w:rsidR="00B822B8" w:rsidRDefault="00B822B8" w:rsidP="00124937"/>
        </w:tc>
        <w:tc>
          <w:tcPr>
            <w:tcW w:w="1853" w:type="dxa"/>
          </w:tcPr>
          <w:p w:rsidR="00B822B8" w:rsidRDefault="00B822B8" w:rsidP="00124937"/>
          <w:p w:rsidR="00B822B8" w:rsidRDefault="00B822B8" w:rsidP="00124937">
            <w:pPr>
              <w:rPr>
                <w:b/>
              </w:rPr>
            </w:pPr>
            <w:r>
              <w:rPr>
                <w:b/>
              </w:rPr>
              <w:t>FAIRE PREUVE DE CURIOSITE</w:t>
            </w:r>
          </w:p>
        </w:tc>
        <w:tc>
          <w:tcPr>
            <w:tcW w:w="9595" w:type="dxa"/>
          </w:tcPr>
          <w:p w:rsidR="00B822B8" w:rsidRDefault="00B822B8" w:rsidP="00B822B8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Prendre des initiatives : se documenter au CDI en explorant toutes les formes de ressources à disposition : périodiques, documentaires, œuvres critiques et théoriques, bande-dessinée, fiction. </w:t>
            </w:r>
          </w:p>
        </w:tc>
      </w:tr>
    </w:tbl>
    <w:p w:rsidR="00B822B8" w:rsidRDefault="00B822B8" w:rsidP="00B822B8"/>
    <w:p w:rsidR="00B822B8" w:rsidRDefault="00B822B8" w:rsidP="00B822B8"/>
    <w:p w:rsidR="00B822B8" w:rsidRDefault="00B822B8" w:rsidP="00B822B8"/>
    <w:p w:rsidR="00B822B8" w:rsidRDefault="00B822B8" w:rsidP="00B822B8"/>
    <w:p w:rsidR="00B822B8" w:rsidRDefault="00B822B8" w:rsidP="00B822B8"/>
    <w:p w:rsidR="00B822B8" w:rsidRDefault="00B822B8"/>
    <w:sectPr w:rsidR="00B822B8" w:rsidSect="00B82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37E"/>
    <w:multiLevelType w:val="multilevel"/>
    <w:tmpl w:val="1AB019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1563BA6"/>
    <w:multiLevelType w:val="multilevel"/>
    <w:tmpl w:val="1FB6FD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0E1670F"/>
    <w:multiLevelType w:val="multilevel"/>
    <w:tmpl w:val="F4BA1E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B8"/>
    <w:rsid w:val="00B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75E9"/>
  <w15:chartTrackingRefBased/>
  <w15:docId w15:val="{BAD62C59-42C8-4271-876D-C13788A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2B8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2019-09-19T19:08:00Z</dcterms:created>
  <dcterms:modified xsi:type="dcterms:W3CDTF">2019-09-19T19:09:00Z</dcterms:modified>
</cp:coreProperties>
</file>